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слушателей (человек)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«Подготовка экспертов по оценке и управлению профессиональными рисками»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1</Pages>
  <Words>172</Words>
  <Characters>1393</Characters>
  <CharactersWithSpaces>1552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2023-08-31T11:58:04Z</dcterms:modified>
  <cp:revision>11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